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Palatino Linotype" w:hAnsi="Palatino Linotype" w:cs="Arial"/>
          <w:b/>
          <w:b/>
          <w:bCs/>
          <w:sz w:val="28"/>
          <w:szCs w:val="28"/>
        </w:rPr>
      </w:pPr>
      <w:r>
        <w:rPr>
          <w:rFonts w:cs="Arial" w:ascii="Palatino Linotype" w:hAnsi="Palatino Linotype"/>
          <w:b/>
          <w:bCs/>
          <w:sz w:val="28"/>
          <w:szCs w:val="28"/>
        </w:rPr>
        <w:t xml:space="preserve">Čestné prohlášení </w:t>
      </w:r>
    </w:p>
    <w:p>
      <w:pPr>
        <w:pStyle w:val="Normal"/>
        <w:jc w:val="center"/>
        <w:rPr>
          <w:rFonts w:ascii="Palatino Linotype" w:hAnsi="Palatino Linotype" w:cs="Arial"/>
          <w:b/>
          <w:b/>
          <w:bCs/>
          <w:sz w:val="22"/>
          <w:szCs w:val="22"/>
        </w:rPr>
      </w:pPr>
      <w:r>
        <w:rPr>
          <w:rFonts w:cs="Arial" w:ascii="Palatino Linotype" w:hAnsi="Palatino Linotype"/>
          <w:b/>
          <w:bCs/>
          <w:sz w:val="22"/>
          <w:szCs w:val="22"/>
        </w:rPr>
      </w:r>
    </w:p>
    <w:p>
      <w:pPr>
        <w:pStyle w:val="Normal"/>
        <w:jc w:val="center"/>
        <w:rPr>
          <w:rFonts w:ascii="Palatino Linotype" w:hAnsi="Palatino Linotype" w:cs="Arial"/>
          <w:b/>
          <w:b/>
          <w:bCs/>
          <w:sz w:val="20"/>
          <w:szCs w:val="20"/>
        </w:rPr>
      </w:pPr>
      <w:r>
        <w:rPr>
          <w:rFonts w:cs="Arial" w:ascii="Palatino Linotype" w:hAnsi="Palatino Linotype"/>
          <w:b/>
          <w:bCs/>
          <w:sz w:val="20"/>
          <w:szCs w:val="20"/>
        </w:rPr>
        <w:t xml:space="preserve">o splnění základních kvalifikačních předpokladů </w:t>
      </w:r>
    </w:p>
    <w:p>
      <w:pPr>
        <w:pStyle w:val="Normal"/>
        <w:jc w:val="center"/>
        <w:rPr>
          <w:rFonts w:ascii="Palatino Linotype" w:hAnsi="Palatino Linotype" w:cs="Arial"/>
          <w:b/>
          <w:b/>
          <w:bCs/>
          <w:sz w:val="20"/>
          <w:szCs w:val="20"/>
          <w:u w:val="single"/>
        </w:rPr>
      </w:pPr>
      <w:r>
        <w:rPr>
          <w:rFonts w:cs="Arial" w:ascii="Palatino Linotype" w:hAnsi="Palatino Linotype"/>
          <w:b/>
          <w:bCs/>
          <w:sz w:val="20"/>
          <w:szCs w:val="20"/>
          <w:u w:val="single"/>
        </w:rPr>
      </w:r>
    </w:p>
    <w:p>
      <w:pPr>
        <w:pStyle w:val="Normal"/>
        <w:jc w:val="center"/>
        <w:rPr>
          <w:rFonts w:ascii="Palatino Linotype" w:hAnsi="Palatino Linotype"/>
          <w:b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 xml:space="preserve">PRO VEŘEJNOU ZAKÁZKU malého rozsahu </w:t>
      </w:r>
      <w:r>
        <w:rPr>
          <w:rFonts w:ascii="Palatino Linotype" w:hAnsi="Palatino Linotype"/>
          <w:sz w:val="20"/>
          <w:szCs w:val="20"/>
        </w:rPr>
        <w:t>na stavební práce</w:t>
      </w:r>
    </w:p>
    <w:p>
      <w:pPr>
        <w:pStyle w:val="Normal"/>
        <w:jc w:val="both"/>
        <w:rPr>
          <w:rFonts w:ascii="Palatino Linotype" w:hAnsi="Palatino Linotype"/>
          <w:sz w:val="20"/>
          <w:szCs w:val="20"/>
        </w:rPr>
      </w:pPr>
      <w:bookmarkStart w:id="0" w:name="_GoBack"/>
      <w:bookmarkStart w:id="1" w:name="_GoBack"/>
      <w:bookmarkEnd w:id="1"/>
      <w:r>
        <w:rPr>
          <w:rFonts w:ascii="Palatino Linotype" w:hAnsi="Palatino Linotype"/>
          <w:sz w:val="20"/>
          <w:szCs w:val="20"/>
        </w:rPr>
      </w:r>
    </w:p>
    <w:p>
      <w:pPr>
        <w:pStyle w:val="Normal"/>
        <w:jc w:val="center"/>
        <w:rPr>
          <w:rFonts w:ascii="Palatino Linotype" w:hAnsi="Palatino Linotype"/>
          <w:b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„</w:t>
      </w:r>
      <w:r>
        <w:rPr>
          <w:rFonts w:ascii="Palatino Linotype" w:hAnsi="Palatino Linotype"/>
          <w:b/>
          <w:sz w:val="20"/>
          <w:szCs w:val="20"/>
        </w:rPr>
        <w:t>Rekonstrukce místní komunikace na parc. č. 2921/1 v k. ú. Vlčice u Javorníka“</w:t>
      </w:r>
    </w:p>
    <w:p>
      <w:pPr>
        <w:pStyle w:val="Normal"/>
        <w:jc w:val="center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</w:r>
    </w:p>
    <w:p>
      <w:pPr>
        <w:pStyle w:val="Normal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</w:r>
    </w:p>
    <w:p>
      <w:pPr>
        <w:pStyle w:val="Normal"/>
        <w:jc w:val="both"/>
        <w:rPr>
          <w:rFonts w:ascii="Palatino Linotype" w:hAnsi="Palatino Linotype" w:cs="Arial"/>
          <w:sz w:val="20"/>
          <w:szCs w:val="20"/>
        </w:rPr>
      </w:pPr>
      <w:r>
        <w:rPr>
          <w:rFonts w:cs="Arial" w:ascii="Palatino Linotype" w:hAnsi="Palatino Linotype"/>
          <w:sz w:val="20"/>
          <w:szCs w:val="20"/>
        </w:rPr>
        <w:t xml:space="preserve">Dodavatel – společnost </w:t>
      </w:r>
      <w:r>
        <w:rPr>
          <w:rFonts w:cs="Arial" w:ascii="Palatino Linotype" w:hAnsi="Palatino Linotype"/>
          <w:bCs/>
          <w:iCs/>
          <w:sz w:val="20"/>
          <w:szCs w:val="20"/>
        </w:rPr>
        <w:t>[</w:t>
      </w:r>
      <w:r>
        <w:rPr>
          <w:rFonts w:cs="Arial" w:ascii="Palatino Linotype" w:hAnsi="Palatino Linotype"/>
          <w:bCs/>
          <w:i/>
          <w:iCs/>
          <w:sz w:val="20"/>
          <w:szCs w:val="20"/>
          <w:highlight w:val="yellow"/>
        </w:rPr>
        <w:t>doplnit firmu, sídlo a identifikační číslo</w:t>
      </w:r>
      <w:r>
        <w:rPr>
          <w:rFonts w:cs="Arial" w:ascii="Palatino Linotype" w:hAnsi="Palatino Linotype"/>
          <w:bCs/>
          <w:iCs/>
          <w:sz w:val="20"/>
          <w:szCs w:val="20"/>
        </w:rPr>
        <w:t xml:space="preserve">], </w:t>
      </w:r>
      <w:r>
        <w:rPr>
          <w:rFonts w:cs="Arial" w:ascii="Palatino Linotype" w:hAnsi="Palatino Linotype"/>
          <w:iCs/>
          <w:sz w:val="20"/>
          <w:szCs w:val="20"/>
        </w:rPr>
        <w:t xml:space="preserve">jednající prostřednictvím </w:t>
      </w:r>
      <w:r>
        <w:rPr>
          <w:rFonts w:cs="Arial" w:ascii="Palatino Linotype" w:hAnsi="Palatino Linotype"/>
          <w:bCs/>
          <w:iCs/>
          <w:sz w:val="20"/>
          <w:szCs w:val="20"/>
        </w:rPr>
        <w:t>[</w:t>
      </w:r>
      <w:r>
        <w:rPr>
          <w:rFonts w:cs="Arial" w:ascii="Palatino Linotype" w:hAnsi="Palatino Linotype"/>
          <w:bCs/>
          <w:i/>
          <w:iCs/>
          <w:sz w:val="20"/>
          <w:szCs w:val="20"/>
          <w:highlight w:val="yellow"/>
        </w:rPr>
        <w:t>doplnit jméno osoby a její funkci</w:t>
      </w:r>
      <w:r>
        <w:rPr>
          <w:rFonts w:cs="Arial" w:ascii="Palatino Linotype" w:hAnsi="Palatino Linotype"/>
          <w:bCs/>
          <w:iCs/>
          <w:sz w:val="20"/>
          <w:szCs w:val="20"/>
        </w:rPr>
        <w:t xml:space="preserve">] (dále jen „dodavatel), </w:t>
      </w:r>
      <w:r>
        <w:rPr>
          <w:rFonts w:cs="Arial" w:ascii="Palatino Linotype" w:hAnsi="Palatino Linotype"/>
          <w:iCs/>
          <w:sz w:val="20"/>
          <w:szCs w:val="20"/>
        </w:rPr>
        <w:t xml:space="preserve">tímto čestně prohlašuje, že </w:t>
      </w:r>
      <w:r>
        <w:rPr>
          <w:rFonts w:cs="Arial" w:ascii="Palatino Linotype" w:hAnsi="Palatino Linotype"/>
          <w:sz w:val="20"/>
          <w:szCs w:val="20"/>
        </w:rPr>
        <w:t xml:space="preserve">splňuje základní kvalifikační předpoklady, neboť se jedná o dodavatele, </w:t>
      </w:r>
    </w:p>
    <w:p>
      <w:pPr>
        <w:pStyle w:val="Normal"/>
        <w:tabs>
          <w:tab w:val="left" w:pos="9072" w:leader="none"/>
        </w:tabs>
        <w:ind w:right="72" w:hanging="0"/>
        <w:jc w:val="both"/>
        <w:rPr>
          <w:rFonts w:ascii="Palatino Linotype" w:hAnsi="Palatino Linotype" w:cs="Arial"/>
          <w:sz w:val="20"/>
          <w:szCs w:val="20"/>
        </w:rPr>
      </w:pPr>
      <w:r>
        <w:rPr>
          <w:rFonts w:cs="Arial" w:ascii="Palatino Linotype" w:hAnsi="Palatino Linotype"/>
          <w:sz w:val="20"/>
          <w:szCs w:val="20"/>
        </w:rPr>
      </w:r>
    </w:p>
    <w:p>
      <w:pPr>
        <w:pStyle w:val="Normal"/>
        <w:jc w:val="both"/>
        <w:rPr>
          <w:rFonts w:ascii="Palatino Linotype" w:hAnsi="Palatino Linotype" w:eastAsia="Calibri" w:cs="" w:cstheme="minorBidi" w:eastAsiaTheme="minorHAnsi"/>
          <w:sz w:val="20"/>
          <w:szCs w:val="20"/>
          <w:lang w:eastAsia="en-US"/>
        </w:rPr>
      </w:pPr>
      <w:r>
        <w:rPr>
          <w:rFonts w:eastAsia="Calibri" w:cs="" w:ascii="Palatino Linotype" w:hAnsi="Palatino Linotype" w:cstheme="minorBidi" w:eastAsiaTheme="minorHAnsi"/>
          <w:b/>
          <w:sz w:val="20"/>
          <w:szCs w:val="20"/>
          <w:lang w:eastAsia="en-US"/>
        </w:rPr>
        <w:t xml:space="preserve">a) </w:t>
      </w:r>
      <w:r>
        <w:rPr>
          <w:rFonts w:eastAsia="Calibri" w:cs="" w:ascii="Palatino Linotype" w:hAnsi="Palatino Linotype" w:cstheme="minorBidi" w:eastAsiaTheme="minorHAnsi"/>
          <w:sz w:val="20"/>
          <w:szCs w:val="20"/>
          <w:lang w:eastAsia="en-US"/>
        </w:rPr>
        <w:t>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>
      <w:pPr>
        <w:pStyle w:val="Normal"/>
        <w:jc w:val="both"/>
        <w:rPr>
          <w:rFonts w:ascii="Palatino Linotype" w:hAnsi="Palatino Linotype" w:eastAsia="Calibri" w:cs="" w:cstheme="minorBidi" w:eastAsiaTheme="minorHAnsi"/>
          <w:sz w:val="20"/>
          <w:szCs w:val="20"/>
          <w:lang w:eastAsia="en-US"/>
        </w:rPr>
      </w:pPr>
      <w:r>
        <w:rPr>
          <w:rFonts w:eastAsia="Calibri" w:cs="" w:ascii="Palatino Linotype" w:hAnsi="Palatino Linotype" w:cstheme="minorBidi" w:eastAsiaTheme="minorHAnsi"/>
          <w:b/>
          <w:sz w:val="20"/>
          <w:szCs w:val="20"/>
          <w:lang w:eastAsia="en-US"/>
        </w:rPr>
        <w:t>b)</w:t>
      </w:r>
      <w:r>
        <w:rPr>
          <w:rFonts w:eastAsia="Calibri" w:cs="" w:ascii="Palatino Linotype" w:hAnsi="Palatino Linotype" w:cstheme="minorBidi" w:eastAsiaTheme="minorHAnsi"/>
          <w:sz w:val="20"/>
          <w:szCs w:val="20"/>
          <w:lang w:eastAsia="en-US"/>
        </w:rPr>
        <w:t xml:space="preserve">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>
      <w:pPr>
        <w:pStyle w:val="Normal"/>
        <w:jc w:val="both"/>
        <w:rPr>
          <w:rFonts w:ascii="Palatino Linotype" w:hAnsi="Palatino Linotype" w:eastAsia="Calibri" w:cs="" w:cstheme="minorBidi" w:eastAsiaTheme="minorHAnsi"/>
          <w:sz w:val="20"/>
          <w:szCs w:val="20"/>
          <w:lang w:eastAsia="en-US"/>
        </w:rPr>
      </w:pPr>
      <w:r>
        <w:rPr>
          <w:rFonts w:eastAsia="Calibri" w:cs="" w:ascii="Palatino Linotype" w:hAnsi="Palatino Linotype" w:cstheme="minorBidi" w:eastAsiaTheme="minorHAnsi"/>
          <w:b/>
          <w:sz w:val="20"/>
          <w:szCs w:val="20"/>
          <w:lang w:eastAsia="en-US"/>
        </w:rPr>
        <w:t xml:space="preserve">c) </w:t>
      </w:r>
      <w:r>
        <w:rPr>
          <w:rFonts w:eastAsia="Calibri" w:cs="" w:ascii="Palatino Linotype" w:hAnsi="Palatino Linotype" w:cstheme="minorBidi" w:eastAsiaTheme="minorHAnsi"/>
          <w:sz w:val="20"/>
          <w:szCs w:val="20"/>
          <w:lang w:eastAsia="en-US"/>
        </w:rPr>
        <w:t>který v posledních 3 letech nenaplnil skutkovou podstatu jednání nekalé soutěže formou podplácení podle zvláštního právního předpisu,</w:t>
      </w:r>
    </w:p>
    <w:p>
      <w:pPr>
        <w:pStyle w:val="Normal"/>
        <w:jc w:val="both"/>
        <w:rPr>
          <w:rFonts w:ascii="Palatino Linotype" w:hAnsi="Palatino Linotype" w:eastAsia="Calibri" w:cs="" w:cstheme="minorBidi" w:eastAsiaTheme="minorHAnsi"/>
          <w:sz w:val="20"/>
          <w:szCs w:val="20"/>
          <w:lang w:eastAsia="en-US"/>
        </w:rPr>
      </w:pPr>
      <w:r>
        <w:rPr>
          <w:rFonts w:eastAsia="Calibri" w:cs="" w:ascii="Palatino Linotype" w:hAnsi="Palatino Linotype" w:cstheme="minorBidi" w:eastAsiaTheme="minorHAnsi"/>
          <w:b/>
          <w:sz w:val="20"/>
          <w:szCs w:val="20"/>
          <w:lang w:eastAsia="en-US"/>
        </w:rPr>
        <w:t>d)</w:t>
      </w:r>
      <w:r>
        <w:rPr>
          <w:rFonts w:eastAsia="Calibri" w:cs="" w:ascii="Palatino Linotype" w:hAnsi="Palatino Linotype" w:cstheme="minorBidi" w:eastAsiaTheme="minorHAnsi"/>
          <w:sz w:val="20"/>
          <w:szCs w:val="20"/>
          <w:lang w:eastAsia="en-US"/>
        </w:rPr>
        <w:t xml:space="preserve"> vůči jehož majetku neprobíhá nebo v 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 41) nebo zavedena nucená správa podle zvláštních právních předpisů,</w:t>
      </w:r>
    </w:p>
    <w:p>
      <w:pPr>
        <w:pStyle w:val="Normal"/>
        <w:jc w:val="both"/>
        <w:rPr>
          <w:rFonts w:ascii="Palatino Linotype" w:hAnsi="Palatino Linotype" w:eastAsia="Calibri" w:cs="" w:cstheme="minorBidi" w:eastAsiaTheme="minorHAnsi"/>
          <w:sz w:val="20"/>
          <w:szCs w:val="20"/>
          <w:lang w:eastAsia="en-US"/>
        </w:rPr>
      </w:pPr>
      <w:r>
        <w:rPr>
          <w:rFonts w:eastAsia="Calibri" w:cs="" w:ascii="Palatino Linotype" w:hAnsi="Palatino Linotype" w:cstheme="minorBidi" w:eastAsiaTheme="minorHAnsi"/>
          <w:b/>
          <w:sz w:val="20"/>
          <w:szCs w:val="20"/>
          <w:lang w:eastAsia="en-US"/>
        </w:rPr>
        <w:t>e)</w:t>
      </w:r>
      <w:r>
        <w:rPr>
          <w:rFonts w:eastAsia="Calibri" w:cs="" w:ascii="Palatino Linotype" w:hAnsi="Palatino Linotype" w:cstheme="minorBidi" w:eastAsiaTheme="minorHAnsi"/>
          <w:sz w:val="20"/>
          <w:szCs w:val="20"/>
          <w:lang w:eastAsia="en-US"/>
        </w:rPr>
        <w:t xml:space="preserve"> který není v likvidaci,</w:t>
      </w:r>
    </w:p>
    <w:p>
      <w:pPr>
        <w:pStyle w:val="Normal"/>
        <w:jc w:val="both"/>
        <w:rPr>
          <w:rFonts w:ascii="Palatino Linotype" w:hAnsi="Palatino Linotype" w:eastAsia="Calibri" w:cs="" w:cstheme="minorBidi" w:eastAsiaTheme="minorHAnsi"/>
          <w:sz w:val="20"/>
          <w:szCs w:val="20"/>
          <w:lang w:eastAsia="en-US"/>
        </w:rPr>
      </w:pPr>
      <w:r>
        <w:rPr>
          <w:rFonts w:eastAsia="Calibri" w:cs="" w:ascii="Palatino Linotype" w:hAnsi="Palatino Linotype" w:cstheme="minorBidi" w:eastAsiaTheme="minorHAnsi"/>
          <w:b/>
          <w:sz w:val="20"/>
          <w:szCs w:val="20"/>
          <w:lang w:eastAsia="en-US"/>
        </w:rPr>
        <w:t>f)</w:t>
      </w:r>
      <w:r>
        <w:rPr>
          <w:rFonts w:eastAsia="Calibri" w:cs="" w:ascii="Palatino Linotype" w:hAnsi="Palatino Linotype" w:cstheme="minorBidi" w:eastAsiaTheme="minorHAnsi"/>
          <w:sz w:val="20"/>
          <w:szCs w:val="20"/>
          <w:lang w:eastAsia="en-US"/>
        </w:rPr>
        <w:t xml:space="preserve"> který nemá v evidenci daní zachyceny daňové nedoplatky, a to jak v České republice, tak v zemi sídla, místa podnikání či bydliště dodavatele,</w:t>
      </w:r>
    </w:p>
    <w:p>
      <w:pPr>
        <w:pStyle w:val="Normal"/>
        <w:jc w:val="both"/>
        <w:rPr>
          <w:rFonts w:ascii="Palatino Linotype" w:hAnsi="Palatino Linotype" w:eastAsia="Calibri" w:cs="" w:cstheme="minorBidi" w:eastAsiaTheme="minorHAnsi"/>
          <w:sz w:val="20"/>
          <w:szCs w:val="20"/>
          <w:lang w:eastAsia="en-US"/>
        </w:rPr>
      </w:pPr>
      <w:r>
        <w:rPr>
          <w:rFonts w:eastAsia="Calibri" w:cs="" w:ascii="Palatino Linotype" w:hAnsi="Palatino Linotype" w:cstheme="minorBidi" w:eastAsiaTheme="minorHAnsi"/>
          <w:b/>
          <w:sz w:val="20"/>
          <w:szCs w:val="20"/>
          <w:lang w:eastAsia="en-US"/>
        </w:rPr>
        <w:t>g)</w:t>
      </w:r>
      <w:r>
        <w:rPr>
          <w:rFonts w:eastAsia="Calibri" w:cs="" w:ascii="Palatino Linotype" w:hAnsi="Palatino Linotype" w:cstheme="minorBidi" w:eastAsiaTheme="minorHAnsi"/>
          <w:sz w:val="20"/>
          <w:szCs w:val="20"/>
          <w:lang w:eastAsia="en-US"/>
        </w:rPr>
        <w:t xml:space="preserve"> který nemá nedoplatek na pojistném a na penále na veřejné zdravotní pojištění, a to jak v České republice, tak v zemi sídla, místa podnikání či bydliště dodavatele,</w:t>
      </w:r>
    </w:p>
    <w:p>
      <w:pPr>
        <w:pStyle w:val="Normal"/>
        <w:jc w:val="both"/>
        <w:rPr>
          <w:rFonts w:ascii="Palatino Linotype" w:hAnsi="Palatino Linotype" w:eastAsia="Calibri" w:cs="" w:cstheme="minorBidi" w:eastAsiaTheme="minorHAnsi"/>
          <w:sz w:val="20"/>
          <w:szCs w:val="20"/>
          <w:lang w:eastAsia="en-US"/>
        </w:rPr>
      </w:pPr>
      <w:r>
        <w:rPr>
          <w:rFonts w:eastAsia="Calibri" w:cs="" w:ascii="Palatino Linotype" w:hAnsi="Palatino Linotype" w:cstheme="minorBidi" w:eastAsiaTheme="minorHAnsi"/>
          <w:b/>
          <w:sz w:val="20"/>
          <w:szCs w:val="20"/>
          <w:lang w:eastAsia="en-US"/>
        </w:rPr>
        <w:t>h)</w:t>
      </w:r>
      <w:r>
        <w:rPr>
          <w:rFonts w:eastAsia="Calibri" w:cs="" w:ascii="Palatino Linotype" w:hAnsi="Palatino Linotype" w:cstheme="minorBidi" w:eastAsiaTheme="minorHAnsi"/>
          <w:sz w:val="20"/>
          <w:szCs w:val="20"/>
          <w:lang w:eastAsia="en-US"/>
        </w:rPr>
        <w:t xml:space="preserve"> který nemá nedoplatek na pojistném a na penále na sociální zabezpečení a příspěvku na státní politiku zaměstnanosti, a to jak v České republice, tak v zemi sídla, místa podnikání či bydliště dodavatele, </w:t>
      </w:r>
    </w:p>
    <w:p>
      <w:pPr>
        <w:pStyle w:val="Normal"/>
        <w:jc w:val="both"/>
        <w:rPr>
          <w:rFonts w:ascii="Palatino Linotype" w:hAnsi="Palatino Linotype" w:eastAsia="Calibri" w:cs="" w:cstheme="minorBidi" w:eastAsiaTheme="minorHAnsi"/>
          <w:sz w:val="20"/>
          <w:szCs w:val="20"/>
          <w:lang w:eastAsia="en-US"/>
        </w:rPr>
      </w:pPr>
      <w:r>
        <w:rPr>
          <w:rFonts w:eastAsia="Calibri" w:cs="" w:ascii="Palatino Linotype" w:hAnsi="Palatino Linotype" w:cstheme="minorBidi" w:eastAsiaTheme="minorHAnsi"/>
          <w:b/>
          <w:sz w:val="20"/>
          <w:szCs w:val="20"/>
          <w:lang w:eastAsia="en-US"/>
        </w:rPr>
        <w:t>i)</w:t>
      </w:r>
      <w:r>
        <w:rPr>
          <w:rFonts w:eastAsia="Calibri" w:cs="" w:ascii="Palatino Linotype" w:hAnsi="Palatino Linotype" w:cstheme="minorBidi" w:eastAsiaTheme="minorHAnsi"/>
          <w:sz w:val="20"/>
          <w:szCs w:val="20"/>
          <w:lang w:eastAsia="en-US"/>
        </w:rPr>
        <w:t xml:space="preserve"> který nebyl v posledních 3 letech pravomocně disciplinárně potrestán či mu nebylo pravomocně uloženo kárné opatření podle zvláštních právních předpisů, je-li podle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>
      <w:pPr>
        <w:pStyle w:val="Normal"/>
        <w:jc w:val="both"/>
        <w:rPr>
          <w:rFonts w:ascii="Palatino Linotype" w:hAnsi="Palatino Linotype" w:eastAsia="Calibri" w:cs="" w:cstheme="minorBidi" w:eastAsiaTheme="minorHAnsi"/>
          <w:sz w:val="20"/>
          <w:szCs w:val="20"/>
          <w:lang w:eastAsia="en-US"/>
        </w:rPr>
      </w:pPr>
      <w:r>
        <w:rPr>
          <w:rFonts w:eastAsia="Calibri" w:cs="" w:ascii="Palatino Linotype" w:hAnsi="Palatino Linotype" w:cstheme="minorBidi" w:eastAsiaTheme="minorHAnsi"/>
          <w:b/>
          <w:sz w:val="20"/>
          <w:szCs w:val="20"/>
          <w:lang w:eastAsia="en-US"/>
        </w:rPr>
        <w:t>j)</w:t>
      </w:r>
      <w:r>
        <w:rPr>
          <w:rFonts w:eastAsia="Calibri" w:cs="" w:ascii="Palatino Linotype" w:hAnsi="Palatino Linotype" w:cstheme="minorBidi" w:eastAsiaTheme="minorHAnsi"/>
          <w:sz w:val="20"/>
          <w:szCs w:val="20"/>
          <w:lang w:eastAsia="en-US"/>
        </w:rPr>
        <w:t xml:space="preserve"> který není veden v rejstříku osob se zákazem plnění veřejných zakázek a</w:t>
      </w:r>
    </w:p>
    <w:p>
      <w:pPr>
        <w:pStyle w:val="Normal"/>
        <w:jc w:val="both"/>
        <w:rPr>
          <w:rFonts w:ascii="Palatino Linotype" w:hAnsi="Palatino Linotype" w:eastAsia="Calibri" w:cs="" w:cstheme="minorBidi" w:eastAsiaTheme="minorHAnsi"/>
          <w:sz w:val="20"/>
          <w:szCs w:val="20"/>
          <w:lang w:eastAsia="en-US"/>
        </w:rPr>
      </w:pPr>
      <w:r>
        <w:rPr>
          <w:rFonts w:eastAsia="Calibri" w:cs="" w:ascii="Palatino Linotype" w:hAnsi="Palatino Linotype" w:cstheme="minorBidi" w:eastAsiaTheme="minorHAnsi"/>
          <w:b/>
          <w:sz w:val="20"/>
          <w:szCs w:val="20"/>
          <w:lang w:eastAsia="en-US"/>
        </w:rPr>
        <w:t>k)</w:t>
      </w:r>
      <w:r>
        <w:rPr>
          <w:rFonts w:eastAsia="Calibri" w:cs="" w:ascii="Palatino Linotype" w:hAnsi="Palatino Linotype" w:cstheme="minorBidi" w:eastAsiaTheme="minorHAnsi"/>
          <w:sz w:val="20"/>
          <w:szCs w:val="20"/>
          <w:lang w:eastAsia="en-US"/>
        </w:rPr>
        <w:t xml:space="preserve"> kterému nebyla v posledních 3 letech pravomocně uložena pokuta za umožnění výkonu nelegální práce podle zvláštního právního předpisu</w:t>
      </w:r>
    </w:p>
    <w:p>
      <w:pPr>
        <w:pStyle w:val="Normal"/>
        <w:jc w:val="both"/>
        <w:rPr>
          <w:rFonts w:ascii="Palatino Linotype" w:hAnsi="Palatino Linotype" w:cs="Arial"/>
          <w:sz w:val="20"/>
          <w:szCs w:val="20"/>
        </w:rPr>
      </w:pPr>
      <w:r>
        <w:rPr>
          <w:rFonts w:cs="Arial" w:ascii="Palatino Linotype" w:hAnsi="Palatino Linotype"/>
          <w:sz w:val="20"/>
          <w:szCs w:val="20"/>
        </w:rPr>
      </w:r>
    </w:p>
    <w:p>
      <w:pPr>
        <w:pStyle w:val="Normal"/>
        <w:jc w:val="both"/>
        <w:rPr>
          <w:rFonts w:ascii="Palatino Linotype" w:hAnsi="Palatino Linotype" w:cs="Arial"/>
          <w:sz w:val="20"/>
          <w:szCs w:val="20"/>
        </w:rPr>
      </w:pPr>
      <w:r>
        <w:rPr>
          <w:rFonts w:cs="Arial" w:ascii="Palatino Linotype" w:hAnsi="Palatino Linotype"/>
          <w:sz w:val="20"/>
          <w:szCs w:val="20"/>
        </w:rPr>
      </w:r>
    </w:p>
    <w:p>
      <w:pPr>
        <w:pStyle w:val="Normal"/>
        <w:jc w:val="both"/>
        <w:rPr>
          <w:rFonts w:ascii="Palatino Linotype" w:hAnsi="Palatino Linotype" w:cs="Arial"/>
          <w:sz w:val="20"/>
          <w:szCs w:val="20"/>
        </w:rPr>
      </w:pPr>
      <w:r>
        <w:rPr>
          <w:rFonts w:cs="Arial" w:ascii="Palatino Linotype" w:hAnsi="Palatino Linotype"/>
          <w:sz w:val="20"/>
          <w:szCs w:val="20"/>
        </w:rPr>
        <w:t>V(e) ……………………..  dne ……………..</w:t>
      </w:r>
    </w:p>
    <w:p>
      <w:pPr>
        <w:pStyle w:val="Normal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</w:r>
    </w:p>
    <w:p>
      <w:pPr>
        <w:pStyle w:val="Normal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</w:r>
    </w:p>
    <w:p>
      <w:pPr>
        <w:pStyle w:val="Normal"/>
        <w:jc w:val="both"/>
        <w:rPr>
          <w:rFonts w:ascii="Palatino Linotype" w:hAnsi="Palatino Linotype" w:cs="Arial"/>
          <w:b/>
          <w:b/>
          <w:sz w:val="20"/>
          <w:szCs w:val="20"/>
        </w:rPr>
      </w:pPr>
      <w:r>
        <w:rPr>
          <w:rFonts w:cs="Arial" w:ascii="Palatino Linotype" w:hAnsi="Palatino Linotype"/>
          <w:b/>
          <w:sz w:val="20"/>
          <w:szCs w:val="20"/>
        </w:rPr>
        <w:t>..........................................................................</w:t>
      </w:r>
    </w:p>
    <w:p>
      <w:pPr>
        <w:pStyle w:val="Normal"/>
        <w:jc w:val="both"/>
        <w:rPr>
          <w:rFonts w:ascii="Palatino Linotype" w:hAnsi="Palatino Linotype" w:cs="Arial"/>
          <w:bCs/>
          <w:iCs/>
          <w:sz w:val="20"/>
          <w:szCs w:val="20"/>
        </w:rPr>
      </w:pPr>
      <w:r>
        <w:rPr>
          <w:rFonts w:cs="Arial" w:ascii="Palatino Linotype" w:hAnsi="Palatino Linotype"/>
          <w:bCs/>
          <w:iCs/>
          <w:sz w:val="20"/>
          <w:szCs w:val="20"/>
        </w:rPr>
        <w:t xml:space="preserve"> </w:t>
      </w:r>
      <w:r>
        <w:rPr>
          <w:rFonts w:cs="Arial" w:ascii="Palatino Linotype" w:hAnsi="Palatino Linotype"/>
          <w:bCs/>
          <w:iCs/>
          <w:sz w:val="20"/>
          <w:szCs w:val="20"/>
        </w:rPr>
        <w:t>[</w:t>
      </w:r>
      <w:r>
        <w:rPr>
          <w:rFonts w:cs="Arial" w:ascii="Palatino Linotype" w:hAnsi="Palatino Linotype"/>
          <w:bCs/>
          <w:i/>
          <w:iCs/>
          <w:sz w:val="20"/>
          <w:szCs w:val="20"/>
          <w:highlight w:val="yellow"/>
        </w:rPr>
        <w:t>doplnit firmu dodavatele, jméno a příjmení a funkci osoby oprávněné jednat za dodavatele</w:t>
      </w:r>
      <w:r>
        <w:rPr>
          <w:rFonts w:cs="Arial" w:ascii="Palatino Linotype" w:hAnsi="Palatino Linotype"/>
          <w:bCs/>
          <w:iCs/>
          <w:sz w:val="20"/>
          <w:szCs w:val="20"/>
        </w:rPr>
        <w:t>]</w:t>
      </w:r>
    </w:p>
    <w:p>
      <w:pPr>
        <w:pStyle w:val="Normal"/>
        <w:jc w:val="both"/>
        <w:rPr/>
      </w:pPr>
      <w:r>
        <w:rPr>
          <w:rFonts w:cs="Arial" w:ascii="Palatino Linotype" w:hAnsi="Palatino Linotype"/>
          <w:sz w:val="20"/>
          <w:szCs w:val="20"/>
        </w:rPr>
        <w:t>osoba oprávněná jednat za dodavatele</w:t>
      </w:r>
    </w:p>
    <w:sectPr>
      <w:headerReference w:type="default" r:id="rId2"/>
      <w:footerReference w:type="default" r:id="rId3"/>
      <w:type w:val="nextPage"/>
      <w:pgSz w:w="11906" w:h="16838"/>
      <w:pgMar w:left="1418" w:right="1418" w:header="709" w:top="1134" w:footer="709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Palatino Linotype">
    <w:charset w:val="ee"/>
    <w:family w:val="roman"/>
    <w:pitch w:val="variable"/>
  </w:font>
  <w:font w:name="Calibr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  <w:jc w:val="right"/>
      <w:rPr>
        <w:rFonts w:ascii="Arial" w:hAnsi="Arial" w:cs="Arial"/>
        <w:b/>
        <w:b/>
        <w:sz w:val="22"/>
        <w:szCs w:val="22"/>
      </w:rPr>
    </w:pPr>
    <w:r>
      <w:rPr>
        <w:rFonts w:cs="Arial" w:ascii="Arial" w:hAnsi="Arial"/>
        <w:b/>
        <w:sz w:val="22"/>
        <w:szCs w:val="22"/>
      </w:rPr>
      <w:t>Příloha č. 5 zadávací dokumentace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hlav"/>
      <w:tabs>
        <w:tab w:val="center" w:pos="4536" w:leader="none"/>
      </w:tabs>
      <w:jc w:val="right"/>
      <w:rPr/>
    </w:pPr>
    <w:r>
      <w:rPr/>
    </w:r>
  </w:p>
</w:hdr>
</file>

<file path=word/settings.xml><?xml version="1.0" encoding="utf-8"?>
<w:settings xmlns:w="http://schemas.openxmlformats.org/wordprocessingml/2006/main">
  <w:zoom w:percent="18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cs-CZ" w:eastAsia="cs-CZ" w:bidi="ar-SA"/>
      </w:rPr>
    </w:rPrDefault>
    <w:pPrDefault>
      <w:pPr/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a182f"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cs-CZ" w:eastAsia="cs-CZ" w:bidi="ar-SA"/>
    </w:rPr>
  </w:style>
  <w:style w:type="paragraph" w:styleId="Nadpis1">
    <w:name w:val="Heading 1"/>
    <w:basedOn w:val="Normal"/>
    <w:qFormat/>
    <w:rsid w:val="00c845f1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reference">
    <w:name w:val="footnote reference"/>
    <w:qFormat/>
    <w:rsid w:val="009b4508"/>
    <w:rPr>
      <w:vertAlign w:val="superscript"/>
    </w:rPr>
  </w:style>
  <w:style w:type="character" w:styleId="TextpoznpodarouChar" w:customStyle="1">
    <w:name w:val="Text pozn. pod čarou Char"/>
    <w:basedOn w:val="DefaultParagraphFont"/>
    <w:link w:val="Textpoznpodarou"/>
    <w:qFormat/>
    <w:rsid w:val="002e6479"/>
    <w:rPr/>
  </w:style>
  <w:style w:type="character" w:styleId="TextbublinyChar" w:customStyle="1">
    <w:name w:val="Text bubliny Char"/>
    <w:basedOn w:val="DefaultParagraphFont"/>
    <w:link w:val="Textbubliny"/>
    <w:qFormat/>
    <w:rsid w:val="00fc1246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eastAsia="Times New Roman" w:cs="Arial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Times New Roman" w:cs="Times New Roman"/>
    </w:rPr>
  </w:style>
  <w:style w:type="character" w:styleId="ListLabel6">
    <w:name w:val="ListLabel 6"/>
    <w:qFormat/>
    <w:rPr>
      <w:b w:val="false"/>
    </w:rPr>
  </w:style>
  <w:style w:type="character" w:styleId="ListLabel7">
    <w:name w:val="ListLabel 7"/>
    <w:qFormat/>
    <w:rPr>
      <w:rFonts w:eastAsia="Times New Roman" w:cs="Arial"/>
      <w:b w:val="false"/>
    </w:rPr>
  </w:style>
  <w:style w:type="character" w:styleId="ListLabel8">
    <w:name w:val="ListLabel 8"/>
    <w:qFormat/>
    <w:rPr>
      <w:b w:val="false"/>
      <w:i w:val="false"/>
    </w:rPr>
  </w:style>
  <w:style w:type="character" w:styleId="ListLabel9">
    <w:name w:val="ListLabel 9"/>
    <w:qFormat/>
    <w:rPr>
      <w:b w:val="false"/>
      <w:i w:val="false"/>
    </w:rPr>
  </w:style>
  <w:style w:type="character" w:styleId="ListLabel10">
    <w:name w:val="ListLabel 10"/>
    <w:qFormat/>
    <w:rPr>
      <w:b/>
    </w:rPr>
  </w:style>
  <w:style w:type="character" w:styleId="ListLabel11">
    <w:name w:val="ListLabel 11"/>
    <w:qFormat/>
    <w:rPr>
      <w:b/>
    </w:rPr>
  </w:style>
  <w:style w:type="character" w:styleId="ListLabel12">
    <w:name w:val="ListLabel 12"/>
    <w:qFormat/>
    <w:rPr>
      <w:b w:val="false"/>
      <w:i w:val="false"/>
      <w:color w:val="00000A"/>
      <w:sz w:val="22"/>
      <w:u w:val="none"/>
    </w:rPr>
  </w:style>
  <w:style w:type="character" w:styleId="ListLabel13">
    <w:name w:val="ListLabel 13"/>
    <w:qFormat/>
    <w:rPr>
      <w:b w:val="false"/>
      <w:i w:val="false"/>
      <w:u w:val="none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Zhlav">
    <w:name w:val="Header"/>
    <w:basedOn w:val="Normal"/>
    <w:rsid w:val="000a6943"/>
    <w:pPr>
      <w:tabs>
        <w:tab w:val="center" w:pos="4536" w:leader="none"/>
        <w:tab w:val="right" w:pos="9072" w:leader="none"/>
      </w:tabs>
    </w:pPr>
    <w:rPr/>
  </w:style>
  <w:style w:type="paragraph" w:styleId="Zpat">
    <w:name w:val="Footer"/>
    <w:basedOn w:val="Normal"/>
    <w:rsid w:val="000a6943"/>
    <w:pPr>
      <w:tabs>
        <w:tab w:val="center" w:pos="4536" w:leader="none"/>
        <w:tab w:val="right" w:pos="9072" w:leader="none"/>
      </w:tabs>
    </w:pPr>
    <w:rPr/>
  </w:style>
  <w:style w:type="paragraph" w:styleId="DocumentMap">
    <w:name w:val="Document Map"/>
    <w:basedOn w:val="Normal"/>
    <w:semiHidden/>
    <w:qFormat/>
    <w:rsid w:val="0008680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Default" w:customStyle="1">
    <w:name w:val="Default"/>
    <w:qFormat/>
    <w:rsid w:val="009b4508"/>
    <w:pPr>
      <w:widowControl/>
      <w:bidi w:val="0"/>
      <w:jc w:val="left"/>
    </w:pPr>
    <w:rPr>
      <w:rFonts w:ascii="Palatino Linotype" w:hAnsi="Palatino Linotype" w:eastAsia="Calibri" w:cs="Palatino Linotype"/>
      <w:color w:val="000000"/>
      <w:sz w:val="24"/>
      <w:szCs w:val="24"/>
      <w:lang w:val="cs-CZ" w:eastAsia="cs-CZ" w:bidi="ar-SA"/>
    </w:rPr>
  </w:style>
  <w:style w:type="paragraph" w:styleId="Textlnku" w:customStyle="1">
    <w:name w:val="Text článku"/>
    <w:basedOn w:val="Normal"/>
    <w:qFormat/>
    <w:rsid w:val="00865604"/>
    <w:pPr>
      <w:spacing w:before="240" w:after="0"/>
      <w:ind w:firstLine="425"/>
      <w:jc w:val="both"/>
      <w:outlineLvl w:val="5"/>
    </w:pPr>
    <w:rPr>
      <w:szCs w:val="20"/>
    </w:rPr>
  </w:style>
  <w:style w:type="paragraph" w:styleId="Footnotetext">
    <w:name w:val="footnote text"/>
    <w:basedOn w:val="Normal"/>
    <w:link w:val="TextpoznpodarouChar"/>
    <w:qFormat/>
    <w:rsid w:val="002e6479"/>
    <w:pPr/>
    <w:rPr>
      <w:sz w:val="20"/>
      <w:szCs w:val="20"/>
    </w:rPr>
  </w:style>
  <w:style w:type="paragraph" w:styleId="BalloonText">
    <w:name w:val="Balloon Text"/>
    <w:basedOn w:val="Normal"/>
    <w:link w:val="TextbublinyChar"/>
    <w:qFormat/>
    <w:rsid w:val="00fc1246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1246"/>
    <w:pPr>
      <w:spacing w:lineRule="auto" w:line="276" w:before="0" w:after="20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LibreOffice/5.2.4.2$Windows_X86_64 LibreOffice_project/3d5603e1122f0f102b62521720ab13a38a4e0eb0</Application>
  <Pages>2</Pages>
  <Words>629</Words>
  <Characters>3940</Characters>
  <CharactersWithSpaces>4555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2017-04-18T11:29:00Z</dcterms:created>
  <dc:creator/>
  <dc:description/>
  <dc:language>cs-CZ</dc:language>
  <cp:lastModifiedBy/>
  <dcterms:modified xsi:type="dcterms:W3CDTF">2021-04-20T10:54:00Z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